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CB" w:rsidRDefault="00DA02CB" w:rsidP="00DA02C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Resumen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lenguaje</w:t>
      </w:r>
      <w:proofErr w:type="spellEnd"/>
      <w:r>
        <w:rPr>
          <w:b/>
          <w:bCs/>
          <w:sz w:val="22"/>
          <w:szCs w:val="22"/>
        </w:rPr>
        <w:t xml:space="preserve"> simple de la </w:t>
      </w:r>
      <w:proofErr w:type="spellStart"/>
      <w:r>
        <w:rPr>
          <w:b/>
          <w:bCs/>
          <w:sz w:val="22"/>
          <w:szCs w:val="22"/>
        </w:rPr>
        <w:t>Política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ayuda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financiera</w:t>
      </w:r>
      <w:proofErr w:type="spellEnd"/>
      <w:r>
        <w:rPr>
          <w:b/>
          <w:bCs/>
          <w:sz w:val="22"/>
          <w:szCs w:val="22"/>
        </w:rPr>
        <w:t xml:space="preserve"> de Harney District Hospital </w:t>
      </w:r>
    </w:p>
    <w:p w:rsidR="00DA02CB" w:rsidRDefault="00DA02CB" w:rsidP="00DA02CB">
      <w:pPr>
        <w:pStyle w:val="Default"/>
        <w:rPr>
          <w:sz w:val="22"/>
          <w:szCs w:val="22"/>
        </w:rPr>
      </w:pPr>
    </w:p>
    <w:p w:rsidR="00E7351D" w:rsidRDefault="00DA02CB" w:rsidP="00DA02CB">
      <w:pPr>
        <w:spacing w:before="9"/>
        <w:rPr>
          <w:rFonts w:ascii="Calibri" w:eastAsia="Calibri" w:hAnsi="Calibri" w:cs="Calibri"/>
          <w:sz w:val="13"/>
          <w:szCs w:val="13"/>
        </w:rPr>
      </w:pPr>
      <w:r>
        <w:t xml:space="preserve">Un </w:t>
      </w:r>
      <w:proofErr w:type="spellStart"/>
      <w:r>
        <w:t>paciente</w:t>
      </w:r>
      <w:proofErr w:type="spellEnd"/>
      <w:r>
        <w:t xml:space="preserve"> del Harney District Hospital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derivan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Pobreza</w:t>
      </w:r>
      <w:proofErr w:type="spellEnd"/>
      <w:r>
        <w:t xml:space="preserve"> (FPG)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Federal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(</w:t>
      </w:r>
      <w:r>
        <w:rPr>
          <w:color w:val="0360C1"/>
        </w:rPr>
        <w:t>http://aspe.hhs.gov/poverty-guidelines</w:t>
      </w:r>
      <w:r>
        <w:t xml:space="preserve">).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se </w:t>
      </w:r>
      <w:proofErr w:type="spellStart"/>
      <w:r>
        <w:t>basará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porcentajes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>:</w:t>
      </w: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como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porcentaje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del </w:t>
                  </w:r>
                  <w:proofErr w:type="spellStart"/>
                  <w:r>
                    <w:rPr>
                      <w:sz w:val="22"/>
                      <w:szCs w:val="22"/>
                    </w:rPr>
                    <w:t>Nivel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Federal de </w:t>
                  </w:r>
                  <w:proofErr w:type="spellStart"/>
                  <w:r>
                    <w:rPr>
                      <w:sz w:val="22"/>
                      <w:szCs w:val="22"/>
                    </w:rPr>
                    <w:t>Pobreza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Cuidado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Caridad % </w:t>
                  </w:r>
                  <w:proofErr w:type="spellStart"/>
                  <w:r>
                    <w:rPr>
                      <w:sz w:val="22"/>
                      <w:szCs w:val="22"/>
                    </w:rPr>
                    <w:t>Descuento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Responsabilidad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Total del </w:t>
                  </w:r>
                  <w:proofErr w:type="spellStart"/>
                  <w:r>
                    <w:rPr>
                      <w:sz w:val="22"/>
                      <w:szCs w:val="22"/>
                    </w:rPr>
                    <w:t>Paciente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  <w:szCs w:val="22"/>
                    </w:rPr>
                    <w:t>Cuenta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3"/>
              </w:rPr>
              <w:t>375%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7736FF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AE4B55">
              <w:rPr>
                <w:rFonts w:ascii="Calibri"/>
                <w:spacing w:val="-1"/>
              </w:rPr>
              <w:t>76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AE4B55">
              <w:rPr>
                <w:rFonts w:ascii="Calibri"/>
                <w:spacing w:val="-1"/>
              </w:rPr>
              <w:t>400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5426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</w:t>
            </w:r>
            <w:r w:rsidR="00542641">
              <w:rPr>
                <w:rFonts w:ascii="Calibri"/>
                <w:spacing w:val="-1"/>
              </w:rPr>
              <w:t>5</w:t>
            </w:r>
            <w:r>
              <w:rPr>
                <w:rFonts w:ascii="Calibri"/>
                <w:spacing w:val="-1"/>
              </w:rPr>
              <w:t>%</w:t>
            </w:r>
          </w:p>
        </w:tc>
      </w:tr>
    </w:tbl>
    <w:p w:rsidR="00DA02CB" w:rsidRDefault="00DA02CB" w:rsidP="00DA02CB">
      <w:pPr>
        <w:pStyle w:val="BodyText"/>
        <w:spacing w:line="259" w:lineRule="auto"/>
        <w:ind w:right="209"/>
      </w:pPr>
      <w:r>
        <w:t xml:space="preserve">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para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el </w:t>
      </w:r>
      <w:proofErr w:type="spellStart"/>
      <w:r>
        <w:t>paciente</w:t>
      </w:r>
      <w:proofErr w:type="spellEnd"/>
      <w:r>
        <w:t xml:space="preserve"> y/o </w:t>
      </w:r>
      <w:proofErr w:type="spellStart"/>
      <w:r>
        <w:t>garante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(el "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")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del hospital con la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respaldo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con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hospital o </w:t>
      </w:r>
      <w:proofErr w:type="spellStart"/>
      <w:r>
        <w:t>llamando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al 541-573-8638. </w:t>
      </w:r>
    </w:p>
    <w:p w:rsidR="00DA02CB" w:rsidRDefault="00DA02CB" w:rsidP="00DA02CB">
      <w:pPr>
        <w:pStyle w:val="BodyText"/>
        <w:spacing w:line="259" w:lineRule="auto"/>
        <w:ind w:right="209"/>
      </w:pPr>
      <w:r>
        <w:t xml:space="preserve">Las </w:t>
      </w:r>
      <w:proofErr w:type="spellStart"/>
      <w:r>
        <w:t>copias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y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descargarse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del </w:t>
      </w:r>
      <w:proofErr w:type="spellStart"/>
      <w:r>
        <w:t>sitio</w:t>
      </w:r>
      <w:proofErr w:type="spellEnd"/>
      <w:r>
        <w:t xml:space="preserve"> web del hospital </w:t>
      </w:r>
      <w:proofErr w:type="spellStart"/>
      <w:r>
        <w:t>en</w:t>
      </w:r>
      <w:proofErr w:type="spellEnd"/>
      <w:r>
        <w:t xml:space="preserve"> </w:t>
      </w:r>
      <w:r>
        <w:rPr>
          <w:color w:val="0461C1"/>
        </w:rPr>
        <w:t>http://www.harneydh.com/services/patient-financial-services/</w:t>
      </w:r>
      <w:r>
        <w:t xml:space="preserve">; </w:t>
      </w:r>
      <w:proofErr w:type="spellStart"/>
      <w:r>
        <w:t>recogido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del hospital,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 o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; o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541-573-8638.</w:t>
      </w:r>
    </w:p>
    <w:p w:rsidR="00E7351D" w:rsidRPr="00E65300" w:rsidRDefault="00DA02CB" w:rsidP="00DA02CB">
      <w:pPr>
        <w:pStyle w:val="BodyText"/>
        <w:spacing w:line="259" w:lineRule="auto"/>
        <w:ind w:right="209"/>
        <w:rPr>
          <w:spacing w:val="-1"/>
        </w:rPr>
      </w:pPr>
      <w:bookmarkStart w:id="0" w:name="_GoBack"/>
      <w:bookmarkEnd w:id="0"/>
      <w:proofErr w:type="spellStart"/>
      <w:r>
        <w:t>Ningún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se determine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monto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facturado</w:t>
      </w:r>
      <w:proofErr w:type="spellEnd"/>
      <w:r>
        <w:t xml:space="preserve"> a las </w:t>
      </w:r>
      <w:proofErr w:type="spellStart"/>
      <w:r>
        <w:t>aseguradoras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r w:rsidR="001F4B63">
        <w:rPr>
          <w:spacing w:val="-1"/>
        </w:rPr>
        <w:t xml:space="preserve">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F4B63"/>
    <w:rsid w:val="00216821"/>
    <w:rsid w:val="00271EF1"/>
    <w:rsid w:val="002E5301"/>
    <w:rsid w:val="0037511C"/>
    <w:rsid w:val="00542641"/>
    <w:rsid w:val="005620C3"/>
    <w:rsid w:val="00585417"/>
    <w:rsid w:val="006F0827"/>
    <w:rsid w:val="007736FF"/>
    <w:rsid w:val="007C359E"/>
    <w:rsid w:val="00821919"/>
    <w:rsid w:val="00866432"/>
    <w:rsid w:val="00905723"/>
    <w:rsid w:val="00AE4B55"/>
    <w:rsid w:val="00C40797"/>
    <w:rsid w:val="00C76A0F"/>
    <w:rsid w:val="00CD1EFB"/>
    <w:rsid w:val="00D33E8B"/>
    <w:rsid w:val="00DA02CB"/>
    <w:rsid w:val="00DC3371"/>
    <w:rsid w:val="00E65300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  <w:style w:type="paragraph" w:customStyle="1" w:styleId="Default">
    <w:name w:val="Default"/>
    <w:rsid w:val="00DA0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3</cp:revision>
  <dcterms:created xsi:type="dcterms:W3CDTF">2020-01-03T23:30:00Z</dcterms:created>
  <dcterms:modified xsi:type="dcterms:W3CDTF">2020-01-03T23:32:00Z</dcterms:modified>
</cp:coreProperties>
</file>